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Josipa Jurčić, stečajna upraviteljica</w:t>
      </w:r>
    </w:p>
    <w:p w:rsidR="00000000" w:rsidDel="00000000" w:rsidP="00000000" w:rsidRDefault="00000000" w:rsidRPr="00000000" w14:paraId="00000002">
      <w:pPr>
        <w:shd w:fill="ffffff" w:val="clear"/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 stečajnog dužnika ALIMENTARI j.d.o.o. u stečaju</w:t>
      </w:r>
    </w:p>
    <w:p w:rsidR="00000000" w:rsidDel="00000000" w:rsidP="00000000" w:rsidRDefault="00000000" w:rsidRPr="00000000" w14:paraId="00000003">
      <w:pPr>
        <w:shd w:fill="ffffff" w:val="clear"/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Split, Benkovačka 3</w:t>
      </w:r>
    </w:p>
    <w:p w:rsidR="00000000" w:rsidDel="00000000" w:rsidP="00000000" w:rsidRDefault="00000000" w:rsidRPr="00000000" w14:paraId="00000004">
      <w:pPr>
        <w:shd w:fill="ffffff" w:val="clear"/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OIB: 45186663377</w:t>
      </w:r>
    </w:p>
    <w:p w:rsidR="00000000" w:rsidDel="00000000" w:rsidP="00000000" w:rsidRDefault="00000000" w:rsidRPr="00000000" w14:paraId="00000005">
      <w:pPr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St-537/2024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OGLAŠAVA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TREĆU PRODAJU POKRETNINE STEČAJNOG DUŽNIKA</w:t>
      </w:r>
    </w:p>
    <w:p w:rsidR="00000000" w:rsidDel="00000000" w:rsidP="00000000" w:rsidRDefault="00000000" w:rsidRPr="00000000" w14:paraId="00000009">
      <w:pPr>
        <w:shd w:fill="ffffff" w:val="clear"/>
        <w:spacing w:after="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PRIKUPLJANJEM PISANIH PONUDA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color w:val="666666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Predmet prodaje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59.0" w:type="dxa"/>
        <w:jc w:val="left"/>
        <w:tblInd w:w="75.0" w:type="dxa"/>
        <w:tblLayout w:type="fixed"/>
        <w:tblLook w:val="0400"/>
      </w:tblPr>
      <w:tblGrid>
        <w:gridCol w:w="830"/>
        <w:gridCol w:w="3767"/>
        <w:gridCol w:w="1620"/>
        <w:gridCol w:w="1355"/>
        <w:gridCol w:w="1587"/>
        <w:tblGridChange w:id="0">
          <w:tblGrid>
            <w:gridCol w:w="830"/>
            <w:gridCol w:w="3767"/>
            <w:gridCol w:w="1620"/>
            <w:gridCol w:w="1355"/>
            <w:gridCol w:w="1587"/>
          </w:tblGrid>
        </w:tblGridChange>
      </w:tblGrid>
      <w:tr>
        <w:trPr>
          <w:cantSplit w:val="0"/>
          <w:trHeight w:val="1134" w:hRule="atLeast"/>
          <w:tblHeader w:val="0"/>
        </w:trPr>
        <w:tc>
          <w:tcPr>
            <w:tcBorders>
              <w:top w:color="a4bac9" w:space="0" w:sz="6" w:val="single"/>
              <w:left w:color="a4bac9" w:space="0" w:sz="6" w:val="single"/>
              <w:bottom w:color="a4bac9" w:space="0" w:sz="6" w:val="single"/>
              <w:right w:color="a4bac9" w:space="0" w:sz="6" w:val="single"/>
            </w:tcBorders>
            <w:shd w:fill="auto" w:val="clear"/>
            <w:tcMar>
              <w:top w:w="45.0" w:type="dxa"/>
              <w:left w:w="45.0" w:type="dxa"/>
              <w:bottom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br w:type="textWrapping"/>
              <w:t xml:space="preserve">Red. Br.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4bac9" w:space="0" w:sz="6" w:val="single"/>
              <w:left w:color="a4bac9" w:space="0" w:sz="6" w:val="single"/>
              <w:bottom w:color="a4bac9" w:space="0" w:sz="6" w:val="single"/>
              <w:right w:color="a4bac9" w:space="0" w:sz="6" w:val="single"/>
            </w:tcBorders>
            <w:shd w:fill="auto" w:val="clear"/>
            <w:tcMar>
              <w:top w:w="45.0" w:type="dxa"/>
              <w:left w:w="45.0" w:type="dxa"/>
              <w:bottom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Vrsta i naziv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4bac9" w:space="0" w:sz="6" w:val="single"/>
              <w:left w:color="a4bac9" w:space="0" w:sz="6" w:val="single"/>
              <w:bottom w:color="a4bac9" w:space="0" w:sz="6" w:val="single"/>
              <w:right w:color="a4bac9" w:space="0" w:sz="6" w:val="single"/>
            </w:tcBorders>
            <w:shd w:fill="auto" w:val="clear"/>
            <w:tcMar>
              <w:top w:w="45.0" w:type="dxa"/>
              <w:left w:w="45.0" w:type="dxa"/>
              <w:bottom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Početna cijena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4bac9" w:space="0" w:sz="6" w:val="single"/>
              <w:left w:color="a4bac9" w:space="0" w:sz="6" w:val="single"/>
              <w:bottom w:color="a4bac9" w:space="0" w:sz="6" w:val="single"/>
              <w:right w:color="a4bac9" w:space="0" w:sz="6" w:val="single"/>
            </w:tcBorders>
            <w:shd w:fill="auto" w:val="clear"/>
            <w:tcMar>
              <w:top w:w="45.0" w:type="dxa"/>
              <w:left w:w="45.0" w:type="dxa"/>
              <w:bottom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PDV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4bac9" w:space="0" w:sz="6" w:val="single"/>
              <w:left w:color="a4bac9" w:space="0" w:sz="6" w:val="single"/>
              <w:bottom w:color="a4bac9" w:space="0" w:sz="6" w:val="single"/>
              <w:right w:color="a4bac9" w:space="0" w:sz="6" w:val="single"/>
            </w:tcBorders>
            <w:shd w:fill="auto" w:val="clear"/>
            <w:tcMar>
              <w:top w:w="45.0" w:type="dxa"/>
              <w:left w:w="45.0" w:type="dxa"/>
              <w:bottom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Cijena sa PDV-om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0" w:hRule="atLeast"/>
          <w:tblHeader w:val="0"/>
        </w:trPr>
        <w:tc>
          <w:tcPr>
            <w:tcBorders>
              <w:top w:color="a4bac9" w:space="0" w:sz="6" w:val="single"/>
              <w:left w:color="a4bac9" w:space="0" w:sz="6" w:val="single"/>
              <w:bottom w:color="a4bac9" w:space="0" w:sz="6" w:val="single"/>
              <w:right w:color="a4bac9" w:space="0" w:sz="6" w:val="single"/>
            </w:tcBorders>
            <w:shd w:fill="auto" w:val="clear"/>
            <w:tcMar>
              <w:top w:w="45.0" w:type="dxa"/>
              <w:left w:w="45.0" w:type="dxa"/>
              <w:bottom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tcBorders>
              <w:top w:color="a4bac9" w:space="0" w:sz="6" w:val="single"/>
              <w:left w:color="a4bac9" w:space="0" w:sz="6" w:val="single"/>
              <w:bottom w:color="a4bac9" w:space="0" w:sz="6" w:val="single"/>
              <w:right w:color="a4bac9" w:space="0" w:sz="6" w:val="single"/>
            </w:tcBorders>
            <w:shd w:fill="auto" w:val="clear"/>
            <w:tcMar>
              <w:top w:w="45.0" w:type="dxa"/>
              <w:left w:w="45.0" w:type="dxa"/>
              <w:bottom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0" w:line="276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M1– osobni automobil BMW serija 5, 518D, godina proizvodnje 2014., broj šasije: WBA5C11060D033799, odjavljeno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4bac9" w:space="0" w:sz="6" w:val="single"/>
              <w:left w:color="a4bac9" w:space="0" w:sz="6" w:val="single"/>
              <w:bottom w:color="a4bac9" w:space="0" w:sz="6" w:val="single"/>
              <w:right w:color="a4bac9" w:space="0" w:sz="6" w:val="single"/>
            </w:tcBorders>
            <w:shd w:fill="auto" w:val="clear"/>
            <w:tcMar>
              <w:top w:w="45.0" w:type="dxa"/>
              <w:left w:w="45.0" w:type="dxa"/>
              <w:bottom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10.926,09 EUR</w:t>
            </w:r>
          </w:p>
        </w:tc>
        <w:tc>
          <w:tcPr>
            <w:tcBorders>
              <w:top w:color="a4bac9" w:space="0" w:sz="6" w:val="single"/>
              <w:left w:color="a4bac9" w:space="0" w:sz="6" w:val="single"/>
              <w:bottom w:color="a4bac9" w:space="0" w:sz="6" w:val="single"/>
              <w:right w:color="a4bac9" w:space="0" w:sz="6" w:val="single"/>
            </w:tcBorders>
            <w:shd w:fill="auto" w:val="clear"/>
            <w:tcMar>
              <w:top w:w="45.0" w:type="dxa"/>
              <w:left w:w="45.0" w:type="dxa"/>
              <w:bottom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2.731,52 EUR</w:t>
            </w:r>
          </w:p>
        </w:tc>
        <w:tc>
          <w:tcPr>
            <w:tcBorders>
              <w:top w:color="a4bac9" w:space="0" w:sz="6" w:val="single"/>
              <w:left w:color="a4bac9" w:space="0" w:sz="6" w:val="single"/>
              <w:bottom w:color="a4bac9" w:space="0" w:sz="6" w:val="single"/>
              <w:right w:color="a4bac9" w:space="0" w:sz="6" w:val="single"/>
            </w:tcBorders>
            <w:shd w:fill="auto" w:val="clear"/>
            <w:tcMar>
              <w:top w:w="45.0" w:type="dxa"/>
              <w:left w:w="45.0" w:type="dxa"/>
              <w:bottom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10.926,09 EUR</w:t>
            </w:r>
          </w:p>
        </w:tc>
      </w:tr>
    </w:tbl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color w:val="666666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II Uvjeti prodaje: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Pravo podnijeti ponudu imaju sve domaće i strane pravne i fizičke osobe, pod uvjetima određenim zakonom i ovim oglasom, uz preduvjet da su uplatili jamčevinu. U slučaju da pristigne više ponuda s istim iznosom, prednost će imati ponuda za koju je ranije uplaćena jamčevina. Ponude se dostavljaju preporučenom pošiljkom u zatvorenoj omotnici na adresu stečajnog upravitelja: Josipa Jurčić, Ulica grada Vukovara 274, 10 000 Zagreb, s naznakom «ponuda za vozilo St-537/2024– ne otvaraj». Ponuda se mora dostaviti stečajnom upravitelju do zaključno 27. studenoga 2025. godine do 10:00 sati. Kasnije pristigle ponude smatrat će se nepravodobnim i neće se uzeti u obzir. Otvaranje ponuda bit će 28. studenoga 2025. godine u 11:00 sati u uredu stečajnog upravitelja na adresi Ulica grada Vukovara 274, Zagreb.</w:t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Pisana ponuda mora sadržavati sve bitne podatke o ponuditelju (ime i prezime/naziv, adresu/sjedište, broj pošte, OIB, broj telefona, broj žiro ili drugog računa, e-mail adresa), sa punim imenom i prezimenom ovlaštene osobe te potpisom ovlaštene osobe.</w:t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Ponuđač je dužan navesti sveukupnu cijenu koja ne smije biti manja od navedene početne cijene. </w:t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Jamčevina iznosi 1.348,90 EUR (10% od procijenjene vrijednosti) i uplaćuje se u korist žiro računa stečajnog dužnika broj: IBAN: HR8924000081110652917 kod Karlovačka banka d.d., uz opis plaćanja: «jamčevina za vozilo», te uz upis OIB-a u pozivu na broj odobrenja. Uplata jamčevina mora biti vidljiva na računu stečajnog dužnika u trenutku isteka roka za podnošenje ponuda.</w:t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Kupcu će se plaćena jamčevina uračunati u cijenu, a ostalima će biti vraćena u roku od 30 dana od dana otvaranja ponuda, bez kamata.</w:t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 Ponuditelj koji povuče ponudu prije odlučivanja o najpovoljnijoj ponudi (otvaranje ponuda kod stečajne upraviteljice) gubi pravo na povrat jamčevine.</w:t>
      </w:r>
    </w:p>
    <w:p w:rsidR="00000000" w:rsidDel="00000000" w:rsidP="00000000" w:rsidRDefault="00000000" w:rsidRPr="00000000" w14:paraId="0000002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 Ukoliko pristignu dvije ili više ponuda s istim iznosom ponuđene cijene uzet će se u obzir ponuda koja je ranije prispjela na poslovnu adresu stečajne upraviteljice.</w:t>
      </w:r>
    </w:p>
    <w:p w:rsidR="00000000" w:rsidDel="00000000" w:rsidP="00000000" w:rsidRDefault="00000000" w:rsidRPr="00000000" w14:paraId="0000002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8. O rezultatu ponuđači će biti obaviješteni u roku od 3 dana od dana izbora najpovoljnije ponude. Prodavatelj zadržava pravo da ne prihvati niti jednu ponudu za kupnju pokretnina ukoliko bi to bilo u suprotnosti s interesima stečajnog dužnika.</w:t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9. Ponuditelj čija se ponuda prihvati kao najpovoljnija dužan je uplatiti kupoprodajnu cijenu iz ponude u roku 3 dana od ispostave računa na e-mail adresu dostavljenu uz ponudu. Ovaj rok smatra se bitnim sastojkom i propuštanjem roka smatra se da je ponuditelj odustao od ponude.</w:t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10. Po uplati kupoprodajne cijene kupac je dužan o svom trošku najkasnije u roku od 5 (pet) dana odvesti kupljenu stvar.</w:t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11. Poreze i pristojbe u svezi s prodajom dužan je platiti kupac.</w:t>
      </w:r>
    </w:p>
    <w:p w:rsidR="00000000" w:rsidDel="00000000" w:rsidP="00000000" w:rsidRDefault="00000000" w:rsidRPr="00000000" w14:paraId="0000002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12. Prodaja se obavlja po načelu ”VIĐENO-KUPLJENO” pa prodavatelj ne odgovara kupcu za materijalne i pravne nedostatke kupljene pokretnine. Pokretnina se pogledati po prethodnom dogovoru sa stečajnim upraviteljem putem e-maila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0563c1"/>
            <w:sz w:val="24"/>
            <w:szCs w:val="24"/>
            <w:u w:val="single"/>
            <w:rtl w:val="0"/>
          </w:rPr>
          <w:t xml:space="preserve">stecaj@jurciclaw.com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Lokacija pokretnine: Logorište 19, Karlovac.</w:t>
      </w:r>
    </w:p>
    <w:sectPr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hr"/>
      </w:rPr>
    </w:rPrDefault>
    <w:pPrDefault>
      <w:pPr>
        <w:spacing w:after="160" w:line="24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aslov3" w:customStyle="1">
    <w:name w:val="Naslov 3"/>
    <w:basedOn w:val="Normal"/>
    <w:pPr>
      <w:spacing w:after="100" w:before="100" w:line="240" w:lineRule="auto"/>
      <w:outlineLvl w:val="2"/>
    </w:pPr>
    <w:rPr>
      <w:rFonts w:ascii="Times New Roman" w:eastAsia="Times New Roman" w:hAnsi="Times New Roman"/>
      <w:b w:val="1"/>
      <w:bCs w:val="1"/>
      <w:sz w:val="27"/>
      <w:szCs w:val="27"/>
      <w:lang w:eastAsia="en-GB"/>
    </w:rPr>
  </w:style>
  <w:style w:type="character" w:styleId="Zadanifontodlomka" w:customStyle="1">
    <w:name w:val="Zadani font odlomka"/>
  </w:style>
  <w:style w:type="character" w:styleId="Naslov3Char" w:customStyle="1">
    <w:name w:val="Naslov 3 Char"/>
    <w:basedOn w:val="Zadanifontodlomka"/>
    <w:rPr>
      <w:rFonts w:ascii="Times New Roman" w:cs="Times New Roman" w:eastAsia="Times New Roman" w:hAnsi="Times New Roman"/>
      <w:b w:val="1"/>
      <w:bCs w:val="1"/>
      <w:sz w:val="27"/>
      <w:szCs w:val="27"/>
      <w:lang w:eastAsia="en-GB"/>
    </w:rPr>
  </w:style>
  <w:style w:type="paragraph" w:styleId="msonormal0" w:customStyle="1">
    <w:name w:val="msonormal"/>
    <w:basedOn w:val="Normal"/>
    <w:pPr>
      <w:spacing w:after="100" w:before="100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z-vrhobrasca" w:customStyle="1">
    <w:name w:val="z-vrh obrasca"/>
    <w:basedOn w:val="Normal"/>
    <w:next w:val="Normal"/>
    <w:pPr>
      <w:pBdr>
        <w:bottom w:color="000000" w:space="1" w:sz="6" w:val="single"/>
      </w:pBdr>
      <w:spacing w:after="0" w:line="240" w:lineRule="auto"/>
      <w:jc w:val="center"/>
    </w:pPr>
    <w:rPr>
      <w:rFonts w:ascii="Arial" w:cs="Arial" w:eastAsia="Times New Roman" w:hAnsi="Arial"/>
      <w:vanish w:val="1"/>
      <w:sz w:val="16"/>
      <w:szCs w:val="16"/>
      <w:lang w:eastAsia="en-GB"/>
    </w:rPr>
  </w:style>
  <w:style w:type="character" w:styleId="z-vrhobrascaChar" w:customStyle="1">
    <w:name w:val="z-vrh obrasca Char"/>
    <w:basedOn w:val="Zadanifontodlomka"/>
    <w:rPr>
      <w:rFonts w:ascii="Arial" w:cs="Arial" w:eastAsia="Times New Roman" w:hAnsi="Arial"/>
      <w:vanish w:val="1"/>
      <w:sz w:val="16"/>
      <w:szCs w:val="16"/>
      <w:lang w:eastAsia="en-GB"/>
    </w:rPr>
  </w:style>
  <w:style w:type="character" w:styleId="Hiperveza" w:customStyle="1">
    <w:name w:val="Hiperveza"/>
    <w:basedOn w:val="Zadanifontodlomka"/>
    <w:rPr>
      <w:color w:val="0000ff"/>
      <w:u w:val="single"/>
    </w:rPr>
  </w:style>
  <w:style w:type="character" w:styleId="SlijeenaHiperveza" w:customStyle="1">
    <w:name w:val="SlijeđenaHiperveza"/>
    <w:basedOn w:val="Zadanifontodlomka"/>
    <w:rPr>
      <w:color w:val="800080"/>
      <w:u w:val="single"/>
    </w:rPr>
  </w:style>
  <w:style w:type="paragraph" w:styleId="StandardWeb" w:customStyle="1">
    <w:name w:val="Standard (Web)"/>
    <w:basedOn w:val="Normal"/>
    <w:pPr>
      <w:spacing w:after="100" w:before="100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Naglaeno" w:customStyle="1">
    <w:name w:val="Naglašeno"/>
    <w:basedOn w:val="Zadanifontodlomka"/>
    <w:rPr>
      <w:b w:val="1"/>
      <w:bCs w:val="1"/>
    </w:rPr>
  </w:style>
  <w:style w:type="character" w:styleId="chkpublic" w:customStyle="1">
    <w:name w:val="chkpublic"/>
    <w:basedOn w:val="Zadanifontodlomka"/>
  </w:style>
  <w:style w:type="character" w:styleId="errorstatus" w:customStyle="1">
    <w:name w:val="error_status"/>
    <w:basedOn w:val="Zadanifontodlomka"/>
  </w:style>
  <w:style w:type="paragraph" w:styleId="z-dnoobrasca" w:customStyle="1">
    <w:name w:val="z-dno obrasca"/>
    <w:basedOn w:val="Normal"/>
    <w:next w:val="Normal"/>
    <w:pPr>
      <w:pBdr>
        <w:top w:color="000000" w:space="1" w:sz="6" w:val="single"/>
      </w:pBdr>
      <w:spacing w:after="0" w:line="240" w:lineRule="auto"/>
      <w:jc w:val="center"/>
    </w:pPr>
    <w:rPr>
      <w:rFonts w:ascii="Arial" w:cs="Arial" w:eastAsia="Times New Roman" w:hAnsi="Arial"/>
      <w:vanish w:val="1"/>
      <w:sz w:val="16"/>
      <w:szCs w:val="16"/>
      <w:lang w:eastAsia="en-GB"/>
    </w:rPr>
  </w:style>
  <w:style w:type="character" w:styleId="z-dnoobrascaChar" w:customStyle="1">
    <w:name w:val="z-dno obrasca Char"/>
    <w:basedOn w:val="Zadanifontodlomka"/>
    <w:rPr>
      <w:rFonts w:ascii="Arial" w:cs="Arial" w:eastAsia="Times New Roman" w:hAnsi="Arial"/>
      <w:vanish w:val="1"/>
      <w:sz w:val="16"/>
      <w:szCs w:val="16"/>
      <w:lang w:eastAsia="en-GB"/>
    </w:rPr>
  </w:style>
  <w:style w:type="character" w:styleId="Hyperlink">
    <w:name w:val="Hyperlink"/>
    <w:basedOn w:val="DefaultParagraphFont"/>
    <w:uiPriority w:val="99"/>
    <w:unhideWhenUsed w:val="1"/>
    <w:rsid w:val="00A132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A132D3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stecaj@jurciclaw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VEjEBeKdlVRSl6orYyeq5loXyw==">CgMxLjA4AHIhMVEyekdOeVF2WnBZNXdOdHpqZ3M3N1pGOEtLd1k3M21q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2025-06-03T16:02:00Z</dcterms:created>
  <dc:creator>josipa.jurcic88@gmail.com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0x0101008F655FE81BDBDC4680077323A49CC697</vt:lpwstr>
  </property>
  <property fmtid="{D5CDD505-2E9C-101B-9397-08002B2CF9AE}" pid="3" name="MediaServiceImageTags">
    <vt:lpwstr/>
  </property>
</Properties>
</file>